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96、付款通知列表的</w:t>
      </w:r>
      <w:r>
        <w:rPr>
          <w:rFonts w:hint="eastAsia"/>
          <w:b/>
          <w:bCs/>
          <w:lang w:val="en-US" w:eastAsia="zh-CN"/>
        </w:rPr>
        <w:t>全部</w:t>
      </w:r>
      <w:r>
        <w:rPr>
          <w:rFonts w:hint="eastAsia"/>
          <w:lang w:val="en-US" w:eastAsia="zh-CN"/>
        </w:rPr>
        <w:t>页签，增加“申请人”筛选查询：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eastAsiaTheme="minorEastAsia"/>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订单分析”对应筛选的界面，E、钉钉的显示内容与OA一致（</w:t>
      </w:r>
      <w:r>
        <w:rPr>
          <w:rFonts w:hint="eastAsia"/>
          <w:color w:val="FF0000"/>
          <w:lang w:val="en-US" w:eastAsia="zh-CN"/>
        </w:rPr>
        <w:t>不</w:t>
      </w:r>
      <w:r>
        <w:rPr>
          <w:rFonts w:hint="eastAsia"/>
          <w:lang w:val="en-US" w:eastAsia="zh-CN"/>
        </w:rPr>
        <w:t>显示操作明细），默认筛选条件也一样！F、能引出excel文件！</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w:t>
      </w:r>
      <w:r>
        <w:rPr>
          <w:rFonts w:hint="eastAsia"/>
          <w:b/>
          <w:bCs/>
          <w:color w:val="FF0000"/>
          <w:lang w:val="en-US" w:eastAsia="zh-CN"/>
        </w:rPr>
        <w:t>业务明细</w:t>
      </w:r>
      <w:r>
        <w:rPr>
          <w:rFonts w:hint="eastAsia"/>
          <w:lang w:val="en-US" w:eastAsia="zh-CN"/>
        </w:rPr>
        <w:t>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eastAsiaTheme="minorEastAsia"/>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F专普票选项增加“电子发票”选项:</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手机钉钉OA，在业务付款申请、非业务付款申请、业务退款申请，在总经理审批后，钉钉通知指定出纳人员（</w:t>
      </w:r>
      <w:r>
        <w:rPr>
          <w:rFonts w:hint="eastAsia"/>
          <w:color w:val="FF0000"/>
          <w:lang w:val="en-US" w:eastAsia="zh-CN"/>
        </w:rPr>
        <w:t>不</w:t>
      </w:r>
      <w:r>
        <w:rPr>
          <w:rFonts w:hint="eastAsia"/>
          <w:lang w:val="en-US" w:eastAsia="zh-CN"/>
        </w:rPr>
        <w:t>是指拥有出纳权限人员）；通知内容：“付款申请：应付对象#########、金额#####；已经总经理审批通过，请及时支付。”或者重新开启pc端消息弹出功能，但是去除“未读与已读”的操作设置，只弹出消息；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新增订单操作时，在主订单页面，“下单人”可选择，但默认为人下单操作本人；当“下单人”选择为非下单操作本人时，则“业务报账人员”自动变更为“下单操作的本人”，当然变更后，</w:t>
      </w:r>
      <w:r>
        <w:rPr>
          <w:rFonts w:hint="eastAsia"/>
          <w:color w:val="FF0000"/>
          <w:lang w:val="en-US" w:eastAsia="zh-CN"/>
        </w:rPr>
        <w:t>仍</w:t>
      </w:r>
      <w:r>
        <w:rPr>
          <w:rFonts w:hint="eastAsia"/>
          <w:lang w:val="en-US" w:eastAsia="zh-CN"/>
        </w:rPr>
        <w:t>可修改选择其他人员为“业务报账人员”：</w:t>
      </w:r>
    </w:p>
    <w:p>
      <w:pPr>
        <w:numPr>
          <w:ilvl w:val="0"/>
          <w:numId w:val="0"/>
        </w:numPr>
        <w:ind w:leftChars="0"/>
      </w:pPr>
      <w:r>
        <w:drawing>
          <wp:inline distT="0" distB="0" distL="114300" distR="114300">
            <wp:extent cx="7040880" cy="3359150"/>
            <wp:effectExtent l="0" t="0" r="7620" b="1270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A主订单页面的结算汇总外增加“提成利润率”、“订单利润率”两个显示数值；B统计模块的业绩统计的</w:t>
      </w:r>
      <w:r>
        <w:rPr>
          <w:rFonts w:hint="eastAsia"/>
          <w:color w:val="FF0000"/>
          <w:lang w:val="en-US" w:eastAsia="zh-CN"/>
        </w:rPr>
        <w:t>两</w:t>
      </w:r>
      <w:r>
        <w:rPr>
          <w:rFonts w:hint="eastAsia"/>
          <w:lang w:val="en-US" w:eastAsia="zh-CN"/>
        </w:rPr>
        <w:t>个子模块中增加利润率显示；如果分母&lt;=0 则显示为空</w:t>
      </w:r>
    </w:p>
    <w:p>
      <w:pPr>
        <w:numPr>
          <w:ilvl w:val="0"/>
          <w:numId w:val="0"/>
        </w:numPr>
        <w:ind w:leftChars="0"/>
      </w:pPr>
      <w:r>
        <w:drawing>
          <wp:inline distT="0" distB="0" distL="114300" distR="114300">
            <wp:extent cx="7040880" cy="3359150"/>
            <wp:effectExtent l="0" t="0" r="7620"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业绩统计的两个子模块，增加排序选择：工号/应收/业绩利润/利润率（四个选项），从大到小；默认排序为“业绩利润”</w:t>
      </w:r>
    </w:p>
    <w:p>
      <w:pPr>
        <w:numPr>
          <w:ilvl w:val="0"/>
          <w:numId w:val="0"/>
        </w:numPr>
        <w:ind w:leftChars="0"/>
      </w:pPr>
      <w:r>
        <w:drawing>
          <wp:inline distT="0" distB="0" distL="114300" distR="114300">
            <wp:extent cx="7040880" cy="3359150"/>
            <wp:effectExtent l="0" t="0" r="7620"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主订单页面，合同造价改中的“50万以下”与“50万-100万”改为：</w:t>
      </w:r>
    </w:p>
    <w:p>
      <w:pPr>
        <w:numPr>
          <w:ilvl w:val="0"/>
          <w:numId w:val="0"/>
        </w:numPr>
        <w:ind w:leftChars="0"/>
      </w:pPr>
      <w:r>
        <w:drawing>
          <wp:inline distT="0" distB="0" distL="114300" distR="114300">
            <wp:extent cx="7040880" cy="3359150"/>
            <wp:effectExtent l="0" t="0" r="7620" b="1270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41"/>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统计分析中增加“策划与设员”工作量统计（位置在订单分析上面）：1、统计对象：接单人员，非接单人员不统计在内；2、筛选条件：订单结束时间、接单人员、人员岗位（模糊筛选）、下单区域、归属区域、订单状态、接单状态（默认“待定与处理中”）、锁单状态；3、合计订单数为</w:t>
      </w:r>
      <w:r>
        <w:rPr>
          <w:rFonts w:hint="eastAsia"/>
          <w:b/>
          <w:bCs/>
          <w:lang w:val="en-US" w:eastAsia="zh-CN"/>
        </w:rPr>
        <w:t>0</w:t>
      </w:r>
      <w:r>
        <w:rPr>
          <w:rFonts w:hint="eastAsia"/>
          <w:lang w:val="en-US" w:eastAsia="zh-CN"/>
        </w:rPr>
        <w:t>的人员</w:t>
      </w:r>
      <w:r>
        <w:rPr>
          <w:rFonts w:hint="eastAsia"/>
          <w:color w:val="FF0000"/>
          <w:lang w:val="en-US" w:eastAsia="zh-CN"/>
        </w:rPr>
        <w:t>不</w:t>
      </w:r>
      <w:r>
        <w:rPr>
          <w:rFonts w:hint="eastAsia"/>
          <w:lang w:val="en-US" w:eastAsia="zh-CN"/>
        </w:rPr>
        <w:t>显示；4、点击记录的数量，自动转跳到对应筛选的“订单分析”页面；5、引出excel文件</w:t>
      </w:r>
    </w:p>
    <w:p>
      <w:pPr>
        <w:numPr>
          <w:ilvl w:val="0"/>
          <w:numId w:val="0"/>
        </w:numPr>
        <w:ind w:leftChars="0"/>
      </w:pPr>
      <w:r>
        <w:drawing>
          <wp:inline distT="0" distB="0" distL="114300" distR="114300">
            <wp:extent cx="7044055" cy="2775585"/>
            <wp:effectExtent l="0" t="0" r="4445" b="57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42"/>
                    <a:stretch>
                      <a:fillRect/>
                    </a:stretch>
                  </pic:blipFill>
                  <pic:spPr>
                    <a:xfrm>
                      <a:off x="0" y="0"/>
                      <a:ext cx="7044055" cy="27755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详细页面增加“合同签署地”选项，同时在财务模块的其他子模块增加“合同签置地”录入；B在业务模块的所有子模块中增加“合同签署地”筛选项；在财务模块中的“应收付列表”、“收款明细列表”、“付款明细列表”、“往来客户”中的“往业客户”与“客户对账子模块”、“财务结账”的所有子模块中；在统计模块中的“订单分析”增加“合同签署地”筛选项；C“付款明细列表中的订单号，鼠标放置显示“合同签署地”；</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A在订单详细页面中的“发票申请汇总”中显示“发票超开金额”，既显示：订单中”已开具的发票“的金额大于“订单应收总额”的金额，用红色字体显示超开金额，未超开显示为“零”；B在订单分析模块中增加“订单发票超开（＝；&gt;；&gt;=）筛选”，默认为空；</w:t>
      </w:r>
    </w:p>
    <w:p>
      <w:pPr>
        <w:numPr>
          <w:ilvl w:val="0"/>
          <w:numId w:val="0"/>
        </w:numPr>
        <w:ind w:leftChars="0"/>
      </w:pPr>
      <w:r>
        <w:drawing>
          <wp:inline distT="0" distB="0" distL="114300" distR="114300">
            <wp:extent cx="7040880" cy="3359150"/>
            <wp:effectExtent l="0" t="0" r="7620" b="1270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发票模块所有子模块，新增“购买方名称”模糊筛选；同时引出的文件也加上“购买方名称”与“开票单位”</w:t>
      </w:r>
    </w:p>
    <w:p>
      <w:pPr>
        <w:numPr>
          <w:ilvl w:val="0"/>
          <w:numId w:val="0"/>
        </w:numPr>
        <w:ind w:leftChars="0"/>
      </w:pPr>
      <w:r>
        <w:drawing>
          <wp:inline distT="0" distB="0" distL="114300" distR="114300">
            <wp:extent cx="7040880" cy="3359150"/>
            <wp:effectExtent l="0" t="0" r="7620" b="1270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4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“非业务”与财务的“付款通知”、“收付通知中的退款”的已付款凭证打印模式增加一个“应税凭证打印”，与普通打印的区别为（</w:t>
      </w:r>
      <w:r>
        <w:rPr>
          <w:rFonts w:hint="eastAsia"/>
          <w:color w:val="FF0000"/>
          <w:lang w:val="en-US" w:eastAsia="zh-CN"/>
        </w:rPr>
        <w:t>暂缓</w:t>
      </w:r>
      <w:r>
        <w:rPr>
          <w:rFonts w:hint="eastAsia"/>
          <w:lang w:val="en-US" w:eastAsia="zh-CN"/>
        </w:rPr>
        <w:t>）：</w:t>
      </w:r>
    </w:p>
    <w:p>
      <w:pPr>
        <w:numPr>
          <w:ilvl w:val="0"/>
          <w:numId w:val="0"/>
        </w:numPr>
        <w:ind w:leftChars="0"/>
      </w:pPr>
      <w:r>
        <w:drawing>
          <wp:inline distT="0" distB="0" distL="114300" distR="114300">
            <wp:extent cx="7040880" cy="3359150"/>
            <wp:effectExtent l="0" t="0" r="7620" b="1270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4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4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4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钉钉订单确认颜色由原业的“明蓝色”改为“瓦蓝色”：</w:t>
      </w:r>
    </w:p>
    <w:p>
      <w:pPr>
        <w:numPr>
          <w:ilvl w:val="0"/>
          <w:numId w:val="0"/>
        </w:numPr>
        <w:ind w:leftChars="0"/>
      </w:pPr>
      <w:r>
        <w:drawing>
          <wp:inline distT="0" distB="0" distL="114300" distR="114300">
            <wp:extent cx="2009775" cy="4890770"/>
            <wp:effectExtent l="0" t="0" r="9525" b="508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49"/>
                    <a:stretch>
                      <a:fillRect/>
                    </a:stretch>
                  </pic:blipFill>
                  <pic:spPr>
                    <a:xfrm>
                      <a:off x="0" y="0"/>
                      <a:ext cx="2009775" cy="489077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“业务活动执行备用金借款”财务审批时，可以修改申请金额（修改的金额应比原来小），修改后在，同时“审批备注”显示：财务批复借款金额由原####元改为#####元；钉钉上也要实现；</w:t>
      </w:r>
    </w:p>
    <w:p>
      <w:pPr>
        <w:numPr>
          <w:ilvl w:val="0"/>
          <w:numId w:val="0"/>
        </w:numPr>
        <w:ind w:leftChars="0"/>
      </w:pPr>
      <w:r>
        <w:drawing>
          <wp:inline distT="0" distB="0" distL="114300" distR="114300">
            <wp:extent cx="7040880" cy="3359150"/>
            <wp:effectExtent l="0" t="0" r="7620" b="1270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5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审单的界面的所有页签增加对业务员的筛选：</w:t>
      </w:r>
    </w:p>
    <w:p>
      <w:pPr>
        <w:numPr>
          <w:ilvl w:val="0"/>
          <w:numId w:val="0"/>
        </w:numPr>
        <w:ind w:leftChars="0"/>
      </w:pPr>
      <w:r>
        <w:drawing>
          <wp:inline distT="0" distB="0" distL="114300" distR="114300">
            <wp:extent cx="7040880" cy="3359150"/>
            <wp:effectExtent l="0" t="0" r="7620" b="1270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5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A在订单详细页面的“已收付款汇总”增加“对账标志”显示；B在“收款明细列表”与“付款明细列表”增加“对账标志”筛选与显示；C引出的EXCEL文件也含“对账标志”显示；</w:t>
      </w:r>
    </w:p>
    <w:p>
      <w:pPr>
        <w:numPr>
          <w:ilvl w:val="0"/>
          <w:numId w:val="0"/>
        </w:numPr>
        <w:ind w:leftChars="0"/>
      </w:pPr>
      <w:r>
        <w:drawing>
          <wp:inline distT="0" distB="0" distL="114300" distR="114300">
            <wp:extent cx="7040880" cy="3359150"/>
            <wp:effectExtent l="0" t="0" r="7620" b="1270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5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5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客户对账明细页面增加“客源”筛选：</w:t>
      </w:r>
    </w:p>
    <w:p>
      <w:pPr>
        <w:numPr>
          <w:ilvl w:val="0"/>
          <w:numId w:val="0"/>
        </w:numPr>
        <w:ind w:leftChars="0"/>
      </w:pPr>
      <w:r>
        <w:drawing>
          <wp:inline distT="0" distB="0" distL="114300" distR="114300">
            <wp:extent cx="7040880" cy="3359150"/>
            <wp:effectExtent l="0" t="0" r="7620" b="1270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5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“添加付款明细”标题改为“添加付款申请”：</w:t>
      </w:r>
    </w:p>
    <w:p>
      <w:pPr>
        <w:numPr>
          <w:ilvl w:val="0"/>
          <w:numId w:val="0"/>
        </w:numPr>
        <w:ind w:leftChars="0"/>
      </w:pPr>
      <w:r>
        <w:drawing>
          <wp:inline distT="0" distB="0" distL="114300" distR="114300">
            <wp:extent cx="7040880" cy="3359150"/>
            <wp:effectExtent l="0" t="0" r="7620" b="1270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155"/>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收款明细列表与付款明细列表增加“付款方式”筛选；</w:t>
      </w:r>
    </w:p>
    <w:p>
      <w:pPr>
        <w:numPr>
          <w:ilvl w:val="0"/>
          <w:numId w:val="0"/>
        </w:numPr>
        <w:ind w:leftChars="0"/>
      </w:pPr>
      <w:r>
        <w:drawing>
          <wp:inline distT="0" distB="0" distL="114300" distR="114300">
            <wp:extent cx="7040880" cy="3359150"/>
            <wp:effectExtent l="0" t="0" r="7620" b="1270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default"/>
          <w:lang w:val="en-US" w:eastAsia="zh-CN"/>
        </w:rPr>
      </w:pPr>
      <w:r>
        <w:rPr>
          <w:rFonts w:hint="eastAsia"/>
          <w:lang w:val="en-US" w:eastAsia="zh-CN"/>
        </w:rPr>
        <w:t>A增加订单面页统计功能同时改进统计模块中的员工业绩统计等一系统功能；</w:t>
      </w:r>
    </w:p>
    <w:p>
      <w:pPr>
        <w:numPr>
          <w:ilvl w:val="0"/>
          <w:numId w:val="0"/>
        </w:numPr>
        <w:ind w:leftChars="0"/>
      </w:pPr>
      <w:r>
        <w:drawing>
          <wp:inline distT="0" distB="0" distL="114300" distR="114300">
            <wp:extent cx="7040880" cy="3065780"/>
            <wp:effectExtent l="0" t="0" r="7620" b="127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7"/>
                    <a:stretch>
                      <a:fillRect/>
                    </a:stretch>
                  </pic:blipFill>
                  <pic:spPr>
                    <a:xfrm>
                      <a:off x="0" y="0"/>
                      <a:ext cx="7040880" cy="30657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b/>
          <w:bCs/>
          <w:color w:val="C00000"/>
          <w:lang w:val="en-US" w:eastAsia="zh-CN"/>
        </w:rPr>
        <w:t>收</w:t>
      </w:r>
      <w:r>
        <w:rPr>
          <w:rFonts w:hint="eastAsia"/>
          <w:color w:val="C00000"/>
          <w:lang w:val="en-US" w:eastAsia="zh-CN"/>
        </w:rPr>
        <w:t>付</w:t>
      </w:r>
      <w:r>
        <w:rPr>
          <w:rFonts w:hint="eastAsia"/>
          <w:lang w:val="en-US" w:eastAsia="zh-CN"/>
        </w:rPr>
        <w:t>款通知 点击未分配款 弹出的 已分配款 显不  “对账标识”：</w:t>
      </w:r>
    </w:p>
    <w:p>
      <w:pPr>
        <w:numPr>
          <w:ilvl w:val="0"/>
          <w:numId w:val="0"/>
        </w:numPr>
        <w:ind w:leftChars="0"/>
      </w:pPr>
      <w:r>
        <w:drawing>
          <wp:inline distT="0" distB="0" distL="114300" distR="114300">
            <wp:extent cx="7040880" cy="3359150"/>
            <wp:effectExtent l="0" t="0" r="7620" b="1270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15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A业绩统计模块：增加“员工业绩明细”与“区域业绩明细”；B员工业绩统计模块的统计性质为“下单”时的对应字段值跳转修改；C区域业绩统计的对应字段值跳转修改</w:t>
      </w:r>
    </w:p>
    <w:p>
      <w:pPr>
        <w:numPr>
          <w:ilvl w:val="0"/>
          <w:numId w:val="0"/>
        </w:numPr>
        <w:ind w:leftChars="0"/>
      </w:pPr>
      <w:r>
        <w:drawing>
          <wp:inline distT="0" distB="0" distL="114300" distR="114300">
            <wp:extent cx="7040880" cy="3843020"/>
            <wp:effectExtent l="0" t="0" r="7620" b="508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9"/>
                    <a:stretch>
                      <a:fillRect/>
                    </a:stretch>
                  </pic:blipFill>
                  <pic:spPr>
                    <a:xfrm>
                      <a:off x="0" y="0"/>
                      <a:ext cx="7040880" cy="384302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6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6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b/>
          <w:bCs/>
          <w:lang w:val="en-US" w:eastAsia="zh-CN"/>
        </w:rPr>
        <w:t>员工业绩明细</w:t>
      </w:r>
      <w:r>
        <w:rPr>
          <w:rFonts w:hint="eastAsia"/>
          <w:lang w:val="en-US" w:eastAsia="zh-CN"/>
        </w:rPr>
        <w:t>数据显示与</w:t>
      </w:r>
      <w:r>
        <w:rPr>
          <w:rFonts w:hint="eastAsia"/>
          <w:b/>
          <w:bCs/>
          <w:lang w:val="en-US" w:eastAsia="zh-CN"/>
        </w:rPr>
        <w:t>区域业绩明</w:t>
      </w:r>
      <w:r>
        <w:rPr>
          <w:rFonts w:hint="eastAsia"/>
          <w:lang w:val="en-US" w:eastAsia="zh-CN"/>
        </w:rPr>
        <w:t>细数据显示：同时点击“订单号”可以进入订单详细页面；</w:t>
      </w:r>
    </w:p>
    <w:p>
      <w:pPr>
        <w:numPr>
          <w:ilvl w:val="0"/>
          <w:numId w:val="0"/>
        </w:numPr>
        <w:ind w:leftChars="0"/>
      </w:pPr>
      <w:r>
        <w:drawing>
          <wp:inline distT="0" distB="0" distL="114300" distR="114300">
            <wp:extent cx="7046595" cy="1388745"/>
            <wp:effectExtent l="0" t="0" r="1905" b="190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62"/>
                    <a:stretch>
                      <a:fillRect/>
                    </a:stretch>
                  </pic:blipFill>
                  <pic:spPr>
                    <a:xfrm>
                      <a:off x="0" y="0"/>
                      <a:ext cx="7046595" cy="1388745"/>
                    </a:xfrm>
                    <a:prstGeom prst="rect">
                      <a:avLst/>
                    </a:prstGeom>
                    <a:noFill/>
                    <a:ln>
                      <a:noFill/>
                    </a:ln>
                  </pic:spPr>
                </pic:pic>
              </a:graphicData>
            </a:graphic>
          </wp:inline>
        </w:drawing>
      </w: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在“订单列表”、“订单业务审核”</w:t>
      </w:r>
      <w:bookmarkStart w:id="0" w:name="_GoBack"/>
      <w:bookmarkEnd w:id="0"/>
      <w:r>
        <w:rPr>
          <w:rFonts w:hint="eastAsia"/>
          <w:lang w:val="en-US" w:eastAsia="zh-CN"/>
        </w:rPr>
        <w:t>与“订单分析”的所有页签中，显示归属区域、业务员及共同业务员的业绩分配比例；</w:t>
      </w:r>
    </w:p>
    <w:p>
      <w:pPr>
        <w:numPr>
          <w:numId w:val="0"/>
        </w:numPr>
        <w:ind w:leftChars="0"/>
      </w:pPr>
      <w:r>
        <w:drawing>
          <wp:inline distT="0" distB="0" distL="114300" distR="114300">
            <wp:extent cx="7040880" cy="3359150"/>
            <wp:effectExtent l="0" t="0" r="7620" b="1270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63"/>
                    <a:stretch>
                      <a:fillRect/>
                    </a:stretch>
                  </pic:blipFill>
                  <pic:spPr>
                    <a:xfrm>
                      <a:off x="0" y="0"/>
                      <a:ext cx="7040880" cy="3359150"/>
                    </a:xfrm>
                    <a:prstGeom prst="rect">
                      <a:avLst/>
                    </a:prstGeom>
                    <a:noFill/>
                    <a:ln>
                      <a:noFill/>
                    </a:ln>
                  </pic:spPr>
                </pic:pic>
              </a:graphicData>
            </a:graphic>
          </wp:inline>
        </w:drawing>
      </w:r>
    </w:p>
    <w:p>
      <w:pPr>
        <w:numPr>
          <w:numId w:val="0"/>
        </w:numPr>
        <w:ind w:leftChars="0"/>
      </w:pPr>
      <w:r>
        <w:drawing>
          <wp:inline distT="0" distB="0" distL="114300" distR="114300">
            <wp:extent cx="7040880" cy="3359150"/>
            <wp:effectExtent l="0" t="0" r="7620" b="1270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64"/>
                    <a:stretch>
                      <a:fillRect/>
                    </a:stretch>
                  </pic:blipFill>
                  <pic:spPr>
                    <a:xfrm>
                      <a:off x="0" y="0"/>
                      <a:ext cx="7040880" cy="3359150"/>
                    </a:xfrm>
                    <a:prstGeom prst="rect">
                      <a:avLst/>
                    </a:prstGeom>
                    <a:noFill/>
                    <a:ln>
                      <a:noFill/>
                    </a:ln>
                  </pic:spPr>
                </pic:pic>
              </a:graphicData>
            </a:graphic>
          </wp:inline>
        </w:drawing>
      </w:r>
    </w:p>
    <w:p>
      <w:pPr>
        <w:numPr>
          <w:numId w:val="0"/>
        </w:numPr>
        <w:ind w:leftChars="0"/>
        <w:rPr>
          <w:rFonts w:hint="default"/>
          <w:lang w:val="en-US" w:eastAsia="zh-CN"/>
        </w:rPr>
      </w:pPr>
      <w:r>
        <w:drawing>
          <wp:inline distT="0" distB="0" distL="114300" distR="114300">
            <wp:extent cx="7040880" cy="3359150"/>
            <wp:effectExtent l="0" t="0" r="7620" b="12700"/>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165"/>
                    <a:stretch>
                      <a:fillRect/>
                    </a:stretch>
                  </pic:blipFill>
                  <pic:spPr>
                    <a:xfrm>
                      <a:off x="0" y="0"/>
                      <a:ext cx="7040880" cy="3359150"/>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DE0D4E"/>
    <w:rsid w:val="01E82F0B"/>
    <w:rsid w:val="02091BEC"/>
    <w:rsid w:val="02230931"/>
    <w:rsid w:val="022B4A4B"/>
    <w:rsid w:val="02721EE5"/>
    <w:rsid w:val="02B95D0A"/>
    <w:rsid w:val="02BF66CD"/>
    <w:rsid w:val="02FF42DC"/>
    <w:rsid w:val="03700E35"/>
    <w:rsid w:val="03956F40"/>
    <w:rsid w:val="03D33827"/>
    <w:rsid w:val="03D82682"/>
    <w:rsid w:val="03EF464A"/>
    <w:rsid w:val="03F71354"/>
    <w:rsid w:val="03FA7C0E"/>
    <w:rsid w:val="04067CD5"/>
    <w:rsid w:val="04285EAC"/>
    <w:rsid w:val="0443279C"/>
    <w:rsid w:val="04516A05"/>
    <w:rsid w:val="04870F2B"/>
    <w:rsid w:val="04BC73A8"/>
    <w:rsid w:val="05337CE2"/>
    <w:rsid w:val="05570D39"/>
    <w:rsid w:val="05C46B18"/>
    <w:rsid w:val="0615505F"/>
    <w:rsid w:val="06C15E24"/>
    <w:rsid w:val="07245898"/>
    <w:rsid w:val="07B872A8"/>
    <w:rsid w:val="08257746"/>
    <w:rsid w:val="08614902"/>
    <w:rsid w:val="09B44310"/>
    <w:rsid w:val="09E9119C"/>
    <w:rsid w:val="0A564639"/>
    <w:rsid w:val="0AA14655"/>
    <w:rsid w:val="0AC76842"/>
    <w:rsid w:val="0B0C5BF4"/>
    <w:rsid w:val="0B4B4206"/>
    <w:rsid w:val="0B5418A3"/>
    <w:rsid w:val="0B547EFC"/>
    <w:rsid w:val="0BEF101F"/>
    <w:rsid w:val="0CA92A3B"/>
    <w:rsid w:val="0CB63D81"/>
    <w:rsid w:val="0CF02377"/>
    <w:rsid w:val="0CF10875"/>
    <w:rsid w:val="0D2121B4"/>
    <w:rsid w:val="0DA17AB6"/>
    <w:rsid w:val="0DAD23FC"/>
    <w:rsid w:val="0DB33E6B"/>
    <w:rsid w:val="0DC96ADA"/>
    <w:rsid w:val="0E2551F3"/>
    <w:rsid w:val="0E9D0A8A"/>
    <w:rsid w:val="0F002098"/>
    <w:rsid w:val="0F324CE4"/>
    <w:rsid w:val="0F3E3F24"/>
    <w:rsid w:val="0F533533"/>
    <w:rsid w:val="0F68202B"/>
    <w:rsid w:val="0FC96F3E"/>
    <w:rsid w:val="0FE77D6F"/>
    <w:rsid w:val="101E2860"/>
    <w:rsid w:val="10AA3CCD"/>
    <w:rsid w:val="10D06C7D"/>
    <w:rsid w:val="113A1522"/>
    <w:rsid w:val="11D11E6A"/>
    <w:rsid w:val="122173B7"/>
    <w:rsid w:val="12E7606A"/>
    <w:rsid w:val="13D70C87"/>
    <w:rsid w:val="13E66D4A"/>
    <w:rsid w:val="14E40968"/>
    <w:rsid w:val="15054C9F"/>
    <w:rsid w:val="15447654"/>
    <w:rsid w:val="158009B3"/>
    <w:rsid w:val="15961E5A"/>
    <w:rsid w:val="16603FE5"/>
    <w:rsid w:val="171F6393"/>
    <w:rsid w:val="172D66EE"/>
    <w:rsid w:val="175549A3"/>
    <w:rsid w:val="17E42BF7"/>
    <w:rsid w:val="1802520C"/>
    <w:rsid w:val="181010A1"/>
    <w:rsid w:val="1812602D"/>
    <w:rsid w:val="18271D0E"/>
    <w:rsid w:val="1841732B"/>
    <w:rsid w:val="18911F74"/>
    <w:rsid w:val="189B59BF"/>
    <w:rsid w:val="18A44D33"/>
    <w:rsid w:val="19277976"/>
    <w:rsid w:val="19B17D35"/>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F145FE4"/>
    <w:rsid w:val="1F9B6AB4"/>
    <w:rsid w:val="1FAF01A5"/>
    <w:rsid w:val="1FD0435A"/>
    <w:rsid w:val="1FE84A79"/>
    <w:rsid w:val="20020720"/>
    <w:rsid w:val="21131D82"/>
    <w:rsid w:val="21501771"/>
    <w:rsid w:val="217C3DFE"/>
    <w:rsid w:val="21EA131A"/>
    <w:rsid w:val="22266D6E"/>
    <w:rsid w:val="22471980"/>
    <w:rsid w:val="228C52E3"/>
    <w:rsid w:val="23534D84"/>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93A31"/>
    <w:rsid w:val="29CF35F9"/>
    <w:rsid w:val="29F83E73"/>
    <w:rsid w:val="2ACE5CC2"/>
    <w:rsid w:val="2AD1002C"/>
    <w:rsid w:val="2AEB3AC8"/>
    <w:rsid w:val="2AFA623D"/>
    <w:rsid w:val="2BD0504D"/>
    <w:rsid w:val="2C032F89"/>
    <w:rsid w:val="2C183A78"/>
    <w:rsid w:val="2C1F7D04"/>
    <w:rsid w:val="2C24179F"/>
    <w:rsid w:val="2D46065C"/>
    <w:rsid w:val="2DB87176"/>
    <w:rsid w:val="2DF56D7A"/>
    <w:rsid w:val="2E93742E"/>
    <w:rsid w:val="2EB11794"/>
    <w:rsid w:val="2EF17C21"/>
    <w:rsid w:val="2EF62223"/>
    <w:rsid w:val="2F0762A6"/>
    <w:rsid w:val="2F877510"/>
    <w:rsid w:val="2FF13345"/>
    <w:rsid w:val="30FD0C76"/>
    <w:rsid w:val="317C3F79"/>
    <w:rsid w:val="319B1E8A"/>
    <w:rsid w:val="31C90EF7"/>
    <w:rsid w:val="321D67FE"/>
    <w:rsid w:val="32297D9E"/>
    <w:rsid w:val="331E357E"/>
    <w:rsid w:val="337D197F"/>
    <w:rsid w:val="33B433C0"/>
    <w:rsid w:val="33E87C5C"/>
    <w:rsid w:val="33F20A69"/>
    <w:rsid w:val="34A9047B"/>
    <w:rsid w:val="34D26B3E"/>
    <w:rsid w:val="34DA18CC"/>
    <w:rsid w:val="35533554"/>
    <w:rsid w:val="356053E3"/>
    <w:rsid w:val="35A13EAD"/>
    <w:rsid w:val="36443EF1"/>
    <w:rsid w:val="367C62DC"/>
    <w:rsid w:val="368D2AFA"/>
    <w:rsid w:val="36BC4790"/>
    <w:rsid w:val="3701591D"/>
    <w:rsid w:val="372620CE"/>
    <w:rsid w:val="37CF2EC7"/>
    <w:rsid w:val="37F86E41"/>
    <w:rsid w:val="387151A8"/>
    <w:rsid w:val="388B3837"/>
    <w:rsid w:val="392600EC"/>
    <w:rsid w:val="3945197E"/>
    <w:rsid w:val="395C0A5F"/>
    <w:rsid w:val="3A2613F7"/>
    <w:rsid w:val="3A2A76CC"/>
    <w:rsid w:val="3A653FE4"/>
    <w:rsid w:val="3A6E50FF"/>
    <w:rsid w:val="3A8209A6"/>
    <w:rsid w:val="3AE030A0"/>
    <w:rsid w:val="3B0B29FF"/>
    <w:rsid w:val="3B524F44"/>
    <w:rsid w:val="3B7C1A7D"/>
    <w:rsid w:val="3BB7287D"/>
    <w:rsid w:val="3BDB4F10"/>
    <w:rsid w:val="3C4A6279"/>
    <w:rsid w:val="3CAB1880"/>
    <w:rsid w:val="3D0A7517"/>
    <w:rsid w:val="3D431EA5"/>
    <w:rsid w:val="3D755604"/>
    <w:rsid w:val="3D827BD7"/>
    <w:rsid w:val="3FC75E2A"/>
    <w:rsid w:val="3FFC2801"/>
    <w:rsid w:val="402E368C"/>
    <w:rsid w:val="40623B20"/>
    <w:rsid w:val="40BD1B5D"/>
    <w:rsid w:val="416D7EE1"/>
    <w:rsid w:val="41913095"/>
    <w:rsid w:val="42E4524A"/>
    <w:rsid w:val="43E45BF1"/>
    <w:rsid w:val="43E45D26"/>
    <w:rsid w:val="44F053E9"/>
    <w:rsid w:val="45172B4C"/>
    <w:rsid w:val="452B6E56"/>
    <w:rsid w:val="45344FA4"/>
    <w:rsid w:val="45A104CB"/>
    <w:rsid w:val="45AC4685"/>
    <w:rsid w:val="45CE72F7"/>
    <w:rsid w:val="46195858"/>
    <w:rsid w:val="461C1DF5"/>
    <w:rsid w:val="46706394"/>
    <w:rsid w:val="472A1B2B"/>
    <w:rsid w:val="47431BBA"/>
    <w:rsid w:val="474A1B42"/>
    <w:rsid w:val="47D169AD"/>
    <w:rsid w:val="480E0BFF"/>
    <w:rsid w:val="486F0A4B"/>
    <w:rsid w:val="48935690"/>
    <w:rsid w:val="493B260F"/>
    <w:rsid w:val="4A134048"/>
    <w:rsid w:val="4A216FFE"/>
    <w:rsid w:val="4A3A69ED"/>
    <w:rsid w:val="4A5179BA"/>
    <w:rsid w:val="4A8F20D8"/>
    <w:rsid w:val="4ACC6537"/>
    <w:rsid w:val="4AF1796D"/>
    <w:rsid w:val="4B587B69"/>
    <w:rsid w:val="4B60553A"/>
    <w:rsid w:val="4BEF52AB"/>
    <w:rsid w:val="4C240337"/>
    <w:rsid w:val="4C423D8C"/>
    <w:rsid w:val="4C96215E"/>
    <w:rsid w:val="4CAB7BE3"/>
    <w:rsid w:val="4CAF6471"/>
    <w:rsid w:val="4CD95B21"/>
    <w:rsid w:val="4DAD1742"/>
    <w:rsid w:val="4DE94EAA"/>
    <w:rsid w:val="4E2E4BCD"/>
    <w:rsid w:val="4EE87874"/>
    <w:rsid w:val="4F42714B"/>
    <w:rsid w:val="4F806677"/>
    <w:rsid w:val="4F87404D"/>
    <w:rsid w:val="4FA6232F"/>
    <w:rsid w:val="4FAF5306"/>
    <w:rsid w:val="4FFD122B"/>
    <w:rsid w:val="50004AA4"/>
    <w:rsid w:val="50B60370"/>
    <w:rsid w:val="51297259"/>
    <w:rsid w:val="514549DB"/>
    <w:rsid w:val="516C5329"/>
    <w:rsid w:val="51A42CB2"/>
    <w:rsid w:val="51F0037B"/>
    <w:rsid w:val="52706F07"/>
    <w:rsid w:val="52A53685"/>
    <w:rsid w:val="53113F54"/>
    <w:rsid w:val="532A33D5"/>
    <w:rsid w:val="53684700"/>
    <w:rsid w:val="540B3AA2"/>
    <w:rsid w:val="548303BC"/>
    <w:rsid w:val="549A43E3"/>
    <w:rsid w:val="552C624B"/>
    <w:rsid w:val="555C66AE"/>
    <w:rsid w:val="55673F09"/>
    <w:rsid w:val="55913D2B"/>
    <w:rsid w:val="56B130CE"/>
    <w:rsid w:val="56DE6041"/>
    <w:rsid w:val="570739C8"/>
    <w:rsid w:val="573E5741"/>
    <w:rsid w:val="576A1DC6"/>
    <w:rsid w:val="57A36601"/>
    <w:rsid w:val="584A21E8"/>
    <w:rsid w:val="59277DFB"/>
    <w:rsid w:val="597D0925"/>
    <w:rsid w:val="59AC3F4D"/>
    <w:rsid w:val="59AF62E9"/>
    <w:rsid w:val="59EC72C4"/>
    <w:rsid w:val="5A075F8E"/>
    <w:rsid w:val="5A3E4D1E"/>
    <w:rsid w:val="5ACD21AA"/>
    <w:rsid w:val="5AFE5CAB"/>
    <w:rsid w:val="5B975E18"/>
    <w:rsid w:val="5BB92F93"/>
    <w:rsid w:val="5BDD3DB7"/>
    <w:rsid w:val="5BE509C8"/>
    <w:rsid w:val="5C891DD2"/>
    <w:rsid w:val="5C9B1066"/>
    <w:rsid w:val="5D586AB3"/>
    <w:rsid w:val="5D9F460B"/>
    <w:rsid w:val="5DC9622E"/>
    <w:rsid w:val="5E354CB0"/>
    <w:rsid w:val="5E3746BE"/>
    <w:rsid w:val="5E3F201E"/>
    <w:rsid w:val="5ED272FD"/>
    <w:rsid w:val="5ED44D98"/>
    <w:rsid w:val="5EDA0854"/>
    <w:rsid w:val="5EE02C49"/>
    <w:rsid w:val="5EF92CD4"/>
    <w:rsid w:val="5F2A017B"/>
    <w:rsid w:val="5F7260FB"/>
    <w:rsid w:val="5FDF7D56"/>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DA6F18"/>
    <w:rsid w:val="6BE83EDE"/>
    <w:rsid w:val="6C430CAC"/>
    <w:rsid w:val="6CED00AD"/>
    <w:rsid w:val="6D3C4CFE"/>
    <w:rsid w:val="6D615120"/>
    <w:rsid w:val="6D7F0CE2"/>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784F3E"/>
    <w:rsid w:val="729B1A1A"/>
    <w:rsid w:val="734C5DA6"/>
    <w:rsid w:val="73621B6C"/>
    <w:rsid w:val="743243F5"/>
    <w:rsid w:val="745D03E1"/>
    <w:rsid w:val="753E613B"/>
    <w:rsid w:val="76022863"/>
    <w:rsid w:val="76102C03"/>
    <w:rsid w:val="765058C0"/>
    <w:rsid w:val="7670696F"/>
    <w:rsid w:val="767A3E82"/>
    <w:rsid w:val="76E005B4"/>
    <w:rsid w:val="77363EE3"/>
    <w:rsid w:val="777F5D49"/>
    <w:rsid w:val="77B776EA"/>
    <w:rsid w:val="77CB2BBE"/>
    <w:rsid w:val="77D7126C"/>
    <w:rsid w:val="7873165D"/>
    <w:rsid w:val="792E26D2"/>
    <w:rsid w:val="797E027D"/>
    <w:rsid w:val="798633F4"/>
    <w:rsid w:val="79906AA9"/>
    <w:rsid w:val="79F0195B"/>
    <w:rsid w:val="79F45479"/>
    <w:rsid w:val="7A30596D"/>
    <w:rsid w:val="7A9145A7"/>
    <w:rsid w:val="7AE17B29"/>
    <w:rsid w:val="7B22011A"/>
    <w:rsid w:val="7B4A3C63"/>
    <w:rsid w:val="7B4F0FDA"/>
    <w:rsid w:val="7BDB797B"/>
    <w:rsid w:val="7C0A2C31"/>
    <w:rsid w:val="7C0A43DC"/>
    <w:rsid w:val="7C6920E3"/>
    <w:rsid w:val="7C882011"/>
    <w:rsid w:val="7CA67A9A"/>
    <w:rsid w:val="7D2951DD"/>
    <w:rsid w:val="7D902047"/>
    <w:rsid w:val="7DB54F24"/>
    <w:rsid w:val="7E8301AF"/>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8" Type="http://schemas.openxmlformats.org/officeDocument/2006/relationships/fontTable" Target="fontTable.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3.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2.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Office_11.1.0.10116_F1E327BC-269C-435d-A152-05C5408002CA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2021-07-05T00:44:50Z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